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Faena Picasso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Grabado comunitario de Jalisco al mundo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Faena Picasso es un proyecto artístico de Rutas Plásticas que impulsa la creación gráfica en municipios de Jalisco, conectando las expresiones locales a un público internacional. Inspirado en el legado del Maestro Pablo Picasso, este esfuerzo resalta el grabado como una técnica que une tradición y contemporaneidad.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Desarrollo del proyecto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 colaboración con dependencias municipales, empresarios, artistas, la Universidad de Guadalajara y la Secretaría de Cultura del Estado, Rutas Plásticas ha llevado talleres de grabado a diversas comunidades de Jalisco. Durante estos, alumnado y artistas han trabajado en técnicas como la placa perdida, creando una carpeta gráfica en constante crecimiento de gran diversidad artística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Resultados y Propuesta para la FIL Guadalajara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 2025, Faena Picasso presentará su trabajo en tres formatos complementarios: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Exposición: Una muestra que incluirá las carpetas gráficas con piezas representativas de los municipios participantes.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Catálogo en formato libro: Una publicación que relatara la historia detrás del proyecto desde su concepción hasta el resultado final y procesos creativos en las comunidades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3.        Documental: el proyecto estará acompañado de un documental que abordará los testimonios y el impacto en las comunidades.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Faena Picasso demuestra cómo la colaboración artística puede conectar comunidades locales con audiencias globales, promoviendo el grabado y el arte como un medio de expresión cultural y fortaleciendo el legado artístico de Jalisco.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Talleres activos de la red Rutas Plasticas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MUNICIPIOS                           TALLER                        MAESTRO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Guadalajara                             Industria               Manuel Guardado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Zapopan                              Rio Tomatlán                Oscar Basulto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Zapopan (Primavera)             Tezkalame                  Gibran Sedano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Poncitlán (Mezcala)               La chayotera                 Asunción  Moreno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Chapala (Sn A. Tlayacapan)   Nopal                        Rocío Vera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Amacueca                                Amate                   Israel Villalobos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Villa purificación                       Xocotl                    Cesar López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La manzanilla de la paz           Tejocote                Andrés Magaña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San Juan Cosalá          El Zalate de los Monos          Isidro Xilotl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Responsable Proyecto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Manuel Rodriguez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Oscar Basulto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